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0" w:lineRule="exact"/>
        <w:ind w:left="2204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419.55pt;height:1pt;mso-position-horizontal-relative:char;mso-position-vertical-relative:line" coordorigin="0,0" coordsize="8391,20">
            <v:line style="position:absolute" from="10,10" to="8381,10" stroked="true" strokeweight="1pt" strokecolor="#da2128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spacing w:line="240" w:lineRule="auto" w:before="167"/>
        <w:ind w:left="2229" w:right="298" w:firstLine="0"/>
        <w:jc w:val="center"/>
        <w:rPr>
          <w:rFonts w:ascii="Verdana" w:hAnsi="Verdana"/>
          <w:b/>
          <w:sz w:val="32"/>
        </w:rPr>
      </w:pPr>
      <w:r>
        <w:rPr/>
        <w:drawing>
          <wp:anchor distT="0" distB="0" distL="0" distR="0" allowOverlap="1" layoutInCell="1" locked="0" behindDoc="0" simplePos="0" relativeHeight="1048">
            <wp:simplePos x="0" y="0"/>
            <wp:positionH relativeFrom="page">
              <wp:posOffset>521741</wp:posOffset>
            </wp:positionH>
            <wp:positionV relativeFrom="paragraph">
              <wp:posOffset>-11349</wp:posOffset>
            </wp:positionV>
            <wp:extent cx="1028750" cy="1028712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50" cy="1028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color w:val="DA2128"/>
          <w:sz w:val="36"/>
        </w:rPr>
        <w:t>Non au dispositif pHARe : </w:t>
      </w:r>
      <w:r>
        <w:rPr>
          <w:rFonts w:ascii="Verdana" w:hAnsi="Verdana"/>
          <w:b/>
          <w:color w:val="DA2128"/>
          <w:sz w:val="32"/>
        </w:rPr>
        <w:t>ce n’est pas aux personnels dans les écoles et les établissements d’élaborer des plans</w:t>
      </w:r>
    </w:p>
    <w:p>
      <w:pPr>
        <w:spacing w:line="384" w:lineRule="exact" w:before="0"/>
        <w:ind w:left="2227" w:right="298" w:firstLine="0"/>
        <w:jc w:val="center"/>
        <w:rPr>
          <w:rFonts w:ascii="Verdana" w:hAnsi="Verdana"/>
          <w:b/>
          <w:sz w:val="32"/>
        </w:rPr>
      </w:pPr>
      <w:r>
        <w:rPr>
          <w:rFonts w:ascii="Verdana" w:hAnsi="Verdana"/>
          <w:b/>
          <w:color w:val="DA2128"/>
          <w:sz w:val="32"/>
        </w:rPr>
        <w:t>de prévention !</w:t>
      </w:r>
    </w:p>
    <w:p>
      <w:pPr>
        <w:pStyle w:val="BodyText"/>
        <w:ind w:left="0"/>
        <w:rPr>
          <w:rFonts w:ascii="Verdana"/>
          <w:b/>
        </w:rPr>
      </w:pPr>
    </w:p>
    <w:p>
      <w:pPr>
        <w:pStyle w:val="BodyText"/>
        <w:spacing w:before="5"/>
        <w:ind w:left="0"/>
        <w:rPr>
          <w:rFonts w:ascii="Verdana"/>
          <w:b/>
        </w:rPr>
      </w:pPr>
    </w:p>
    <w:p>
      <w:pPr>
        <w:pStyle w:val="BodyText"/>
        <w:spacing w:line="280" w:lineRule="auto"/>
        <w:ind w:right="176"/>
        <w:jc w:val="both"/>
      </w:pPr>
      <w:r>
        <w:rPr/>
        <w:pict>
          <v:line style="position:absolute;mso-position-horizontal-relative:page;mso-position-vertical-relative:paragraph;z-index:1072" from="35.949001pt,-.889835pt" to="39.614001pt,620.276165pt" stroked="true" strokeweight="1pt" strokecolor="#da2128">
            <v:stroke dashstyle="solid"/>
            <w10:wrap type="none"/>
          </v:line>
        </w:pict>
      </w:r>
      <w:r>
        <w:rPr>
          <w:color w:val="231F20"/>
        </w:rPr>
        <w:t>Depuis 2015, chaque année, la journée nationale de lutte contre le harcèlement scolaire a lieu le premier jeudi suivant les vacances de la Toussaint, donc le 10 novembre 2022. À l’approche de cette journée le ministre de l’Éducation nationale, et Brigitte Macron, se sont rendus lundi 7 novembre au collège Louis-Braille à Esbly en Seine-et-Marne.</w:t>
      </w:r>
    </w:p>
    <w:p>
      <w:pPr>
        <w:spacing w:line="283" w:lineRule="auto" w:before="182"/>
        <w:ind w:left="593" w:right="174" w:firstLine="0"/>
        <w:jc w:val="left"/>
        <w:rPr>
          <w:sz w:val="20"/>
        </w:rPr>
      </w:pPr>
      <w:r>
        <w:rPr>
          <w:b/>
          <w:color w:val="231F20"/>
          <w:sz w:val="24"/>
        </w:rPr>
        <w:t>Encore une occasion pour ajouter des tâches et missions nouvelles aux personnels   </w:t>
      </w:r>
      <w:r>
        <w:rPr>
          <w:color w:val="231F20"/>
          <w:sz w:val="20"/>
        </w:rPr>
        <w:t>Ce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dispositif,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dit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pHARe,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a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été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généralisé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à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tous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les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établissements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(écoles,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collèges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et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lycées).</w:t>
      </w:r>
      <w:r>
        <w:rPr>
          <w:color w:val="231F20"/>
          <w:spacing w:val="-10"/>
          <w:sz w:val="20"/>
        </w:rPr>
        <w:t> </w:t>
      </w:r>
      <w:r>
        <w:rPr>
          <w:color w:val="231F20"/>
          <w:sz w:val="20"/>
        </w:rPr>
        <w:t>Il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tente</w:t>
      </w:r>
      <w:r>
        <w:rPr>
          <w:color w:val="231F20"/>
          <w:spacing w:val="-11"/>
          <w:sz w:val="20"/>
        </w:rPr>
        <w:t> </w:t>
      </w:r>
      <w:r>
        <w:rPr>
          <w:color w:val="231F20"/>
          <w:sz w:val="20"/>
        </w:rPr>
        <w:t>d’imposer la mise en place, partout, d’« ambassadeurs » contre le harcèlement et à constituer des équipes </w:t>
      </w:r>
      <w:r>
        <w:rPr>
          <w:color w:val="231F20"/>
          <w:spacing w:val="2"/>
          <w:sz w:val="20"/>
        </w:rPr>
        <w:t>spécialement </w:t>
      </w:r>
      <w:r>
        <w:rPr>
          <w:color w:val="231F20"/>
          <w:spacing w:val="3"/>
          <w:sz w:val="20"/>
        </w:rPr>
        <w:t>formées </w:t>
      </w:r>
      <w:r>
        <w:rPr>
          <w:color w:val="231F20"/>
          <w:sz w:val="20"/>
        </w:rPr>
        <w:t>à la </w:t>
      </w:r>
      <w:r>
        <w:rPr>
          <w:color w:val="231F20"/>
          <w:spacing w:val="2"/>
          <w:sz w:val="20"/>
        </w:rPr>
        <w:t>gestion </w:t>
      </w:r>
      <w:r>
        <w:rPr>
          <w:color w:val="231F20"/>
          <w:sz w:val="20"/>
        </w:rPr>
        <w:t>de ces </w:t>
      </w:r>
      <w:r>
        <w:rPr>
          <w:color w:val="231F20"/>
          <w:spacing w:val="2"/>
          <w:sz w:val="20"/>
        </w:rPr>
        <w:t>situations. </w:t>
      </w:r>
      <w:r>
        <w:rPr>
          <w:color w:val="231F20"/>
          <w:sz w:val="20"/>
        </w:rPr>
        <w:t>Le </w:t>
      </w:r>
      <w:r>
        <w:rPr>
          <w:color w:val="231F20"/>
          <w:spacing w:val="2"/>
          <w:sz w:val="20"/>
        </w:rPr>
        <w:t>ministre </w:t>
      </w:r>
      <w:r>
        <w:rPr>
          <w:color w:val="231F20"/>
          <w:sz w:val="20"/>
        </w:rPr>
        <w:t>a </w:t>
      </w:r>
      <w:r>
        <w:rPr>
          <w:color w:val="231F20"/>
          <w:spacing w:val="2"/>
          <w:sz w:val="20"/>
        </w:rPr>
        <w:t>introduit </w:t>
      </w:r>
      <w:r>
        <w:rPr>
          <w:color w:val="231F20"/>
          <w:sz w:val="20"/>
        </w:rPr>
        <w:t>ce </w:t>
      </w:r>
      <w:r>
        <w:rPr>
          <w:color w:val="231F20"/>
          <w:spacing w:val="2"/>
          <w:sz w:val="20"/>
        </w:rPr>
        <w:t>dispositif dans </w:t>
      </w:r>
      <w:r>
        <w:rPr>
          <w:color w:val="231F20"/>
          <w:sz w:val="20"/>
        </w:rPr>
        <w:t>le </w:t>
      </w:r>
      <w:r>
        <w:rPr>
          <w:color w:val="231F20"/>
          <w:spacing w:val="2"/>
          <w:sz w:val="20"/>
        </w:rPr>
        <w:t>Code </w:t>
      </w:r>
      <w:r>
        <w:rPr>
          <w:color w:val="231F20"/>
          <w:sz w:val="20"/>
        </w:rPr>
        <w:t>de </w:t>
      </w:r>
      <w:r>
        <w:rPr>
          <w:color w:val="231F20"/>
          <w:spacing w:val="2"/>
          <w:sz w:val="20"/>
        </w:rPr>
        <w:t>l’Éducation </w:t>
      </w:r>
      <w:r>
        <w:rPr>
          <w:color w:val="231F20"/>
          <w:spacing w:val="3"/>
          <w:sz w:val="20"/>
        </w:rPr>
        <w:t>en </w:t>
      </w:r>
      <w:r>
        <w:rPr>
          <w:color w:val="231F20"/>
          <w:sz w:val="20"/>
        </w:rPr>
        <w:t>septembre. Il devrait faire partie du projet d’école ou d'établissement en associant « </w:t>
      </w:r>
      <w:r>
        <w:rPr>
          <w:i/>
          <w:color w:val="231F20"/>
          <w:sz w:val="20"/>
        </w:rPr>
        <w:t>les représentants de la </w:t>
      </w:r>
      <w:r>
        <w:rPr>
          <w:i/>
          <w:color w:val="231F20"/>
          <w:spacing w:val="3"/>
          <w:sz w:val="20"/>
        </w:rPr>
        <w:t>communauté </w:t>
      </w:r>
      <w:r>
        <w:rPr>
          <w:i/>
          <w:color w:val="231F20"/>
          <w:spacing w:val="2"/>
          <w:sz w:val="20"/>
        </w:rPr>
        <w:t>éducative </w:t>
      </w:r>
      <w:r>
        <w:rPr>
          <w:i/>
          <w:color w:val="231F20"/>
          <w:sz w:val="20"/>
        </w:rPr>
        <w:t>les </w:t>
      </w:r>
      <w:r>
        <w:rPr>
          <w:i/>
          <w:color w:val="231F20"/>
          <w:spacing w:val="2"/>
          <w:sz w:val="20"/>
        </w:rPr>
        <w:t>personnels </w:t>
      </w:r>
      <w:r>
        <w:rPr>
          <w:i/>
          <w:color w:val="231F20"/>
          <w:spacing w:val="3"/>
          <w:sz w:val="20"/>
        </w:rPr>
        <w:t>médicaux, </w:t>
      </w:r>
      <w:r>
        <w:rPr>
          <w:i/>
          <w:color w:val="231F20"/>
          <w:sz w:val="20"/>
        </w:rPr>
        <w:t>les </w:t>
      </w:r>
      <w:r>
        <w:rPr>
          <w:i/>
          <w:color w:val="231F20"/>
          <w:spacing w:val="2"/>
          <w:sz w:val="20"/>
        </w:rPr>
        <w:t>infirmiers, </w:t>
      </w:r>
      <w:r>
        <w:rPr>
          <w:i/>
          <w:color w:val="231F20"/>
          <w:sz w:val="20"/>
        </w:rPr>
        <w:t>les </w:t>
      </w:r>
      <w:r>
        <w:rPr>
          <w:i/>
          <w:color w:val="231F20"/>
          <w:spacing w:val="2"/>
          <w:sz w:val="20"/>
        </w:rPr>
        <w:t>assistants </w:t>
      </w:r>
      <w:r>
        <w:rPr>
          <w:i/>
          <w:color w:val="231F20"/>
          <w:sz w:val="20"/>
        </w:rPr>
        <w:t>de </w:t>
      </w:r>
      <w:r>
        <w:rPr>
          <w:i/>
          <w:color w:val="231F20"/>
          <w:spacing w:val="3"/>
          <w:sz w:val="20"/>
        </w:rPr>
        <w:t>service social </w:t>
      </w:r>
      <w:r>
        <w:rPr>
          <w:i/>
          <w:color w:val="231F20"/>
          <w:sz w:val="20"/>
        </w:rPr>
        <w:t>et </w:t>
      </w:r>
      <w:r>
        <w:rPr>
          <w:i/>
          <w:color w:val="231F20"/>
          <w:spacing w:val="3"/>
          <w:sz w:val="20"/>
        </w:rPr>
        <w:t>les </w:t>
      </w:r>
      <w:r>
        <w:rPr>
          <w:i/>
          <w:color w:val="231F20"/>
          <w:sz w:val="20"/>
        </w:rPr>
        <w:t>psychologues</w:t>
      </w:r>
      <w:r>
        <w:rPr>
          <w:color w:val="231F20"/>
          <w:sz w:val="20"/>
        </w:rPr>
        <w:t>.</w:t>
      </w:r>
      <w:r>
        <w:rPr>
          <w:color w:val="231F20"/>
          <w:spacing w:val="16"/>
          <w:sz w:val="20"/>
        </w:rPr>
        <w:t> </w:t>
      </w:r>
      <w:r>
        <w:rPr>
          <w:color w:val="231F20"/>
          <w:sz w:val="20"/>
        </w:rPr>
        <w:t>»</w:t>
      </w:r>
    </w:p>
    <w:p>
      <w:pPr>
        <w:spacing w:line="285" w:lineRule="auto" w:before="180"/>
        <w:ind w:left="593" w:right="174" w:firstLine="0"/>
        <w:jc w:val="left"/>
        <w:rPr>
          <w:sz w:val="20"/>
        </w:rPr>
      </w:pPr>
      <w:r>
        <w:rPr>
          <w:b/>
          <w:color w:val="231F20"/>
          <w:sz w:val="24"/>
        </w:rPr>
        <w:t>Sous prétexte de harcèlement, le ministre ajoute une couche de déréglementation   </w:t>
      </w:r>
      <w:r>
        <w:rPr>
          <w:color w:val="231F20"/>
          <w:sz w:val="20"/>
        </w:rPr>
        <w:t>Avec la </w:t>
      </w:r>
      <w:r>
        <w:rPr>
          <w:color w:val="231F20"/>
          <w:spacing w:val="3"/>
          <w:sz w:val="20"/>
        </w:rPr>
        <w:t>mise </w:t>
      </w:r>
      <w:r>
        <w:rPr>
          <w:color w:val="231F20"/>
          <w:sz w:val="20"/>
        </w:rPr>
        <w:t>en </w:t>
      </w:r>
      <w:r>
        <w:rPr>
          <w:color w:val="231F20"/>
          <w:spacing w:val="2"/>
          <w:sz w:val="20"/>
        </w:rPr>
        <w:t>place </w:t>
      </w:r>
      <w:r>
        <w:rPr>
          <w:color w:val="231F20"/>
          <w:sz w:val="20"/>
        </w:rPr>
        <w:t>de </w:t>
      </w:r>
      <w:r>
        <w:rPr>
          <w:color w:val="231F20"/>
          <w:spacing w:val="3"/>
          <w:sz w:val="20"/>
        </w:rPr>
        <w:t>référents, comme </w:t>
      </w:r>
      <w:r>
        <w:rPr>
          <w:color w:val="231F20"/>
          <w:spacing w:val="2"/>
          <w:sz w:val="20"/>
        </w:rPr>
        <w:t>pour </w:t>
      </w:r>
      <w:r>
        <w:rPr>
          <w:color w:val="231F20"/>
          <w:sz w:val="20"/>
        </w:rPr>
        <w:t>la </w:t>
      </w:r>
      <w:r>
        <w:rPr>
          <w:color w:val="231F20"/>
          <w:spacing w:val="2"/>
          <w:sz w:val="20"/>
        </w:rPr>
        <w:t>laïcité </w:t>
      </w:r>
      <w:r>
        <w:rPr>
          <w:color w:val="231F20"/>
          <w:sz w:val="20"/>
        </w:rPr>
        <w:t>à </w:t>
      </w:r>
      <w:r>
        <w:rPr>
          <w:color w:val="231F20"/>
          <w:spacing w:val="2"/>
          <w:sz w:val="20"/>
        </w:rPr>
        <w:t>l’école, </w:t>
      </w:r>
      <w:r>
        <w:rPr>
          <w:color w:val="231F20"/>
          <w:sz w:val="20"/>
        </w:rPr>
        <w:t>se </w:t>
      </w:r>
      <w:r>
        <w:rPr>
          <w:color w:val="231F20"/>
          <w:spacing w:val="2"/>
          <w:sz w:val="20"/>
        </w:rPr>
        <w:t>dessinent </w:t>
      </w:r>
      <w:r>
        <w:rPr>
          <w:color w:val="231F20"/>
          <w:sz w:val="20"/>
        </w:rPr>
        <w:t>les </w:t>
      </w:r>
      <w:r>
        <w:rPr>
          <w:color w:val="231F20"/>
          <w:spacing w:val="3"/>
          <w:sz w:val="20"/>
        </w:rPr>
        <w:t>fameuses </w:t>
      </w:r>
      <w:r>
        <w:rPr>
          <w:color w:val="231F20"/>
          <w:spacing w:val="4"/>
          <w:sz w:val="20"/>
        </w:rPr>
        <w:t>missions </w:t>
      </w:r>
      <w:r>
        <w:rPr>
          <w:color w:val="231F20"/>
          <w:sz w:val="20"/>
        </w:rPr>
        <w:t>particulières dans le cadre du « pacte » cher à notre ministre auquel la FNEC FP-FO oppose une revalorisation sans</w:t>
      </w:r>
      <w:r>
        <w:rPr>
          <w:color w:val="231F20"/>
          <w:spacing w:val="34"/>
          <w:sz w:val="20"/>
        </w:rPr>
        <w:t> </w:t>
      </w:r>
      <w:r>
        <w:rPr>
          <w:color w:val="231F20"/>
          <w:sz w:val="20"/>
        </w:rPr>
        <w:t>contrepartie.</w:t>
      </w:r>
    </w:p>
    <w:p>
      <w:pPr>
        <w:pStyle w:val="BodyText"/>
        <w:spacing w:line="280" w:lineRule="auto"/>
        <w:ind w:right="175"/>
        <w:jc w:val="both"/>
      </w:pPr>
      <w:r>
        <w:rPr>
          <w:color w:val="231F20"/>
        </w:rPr>
        <w:t>Pour le gouvernement, il faudrait que la lutte contre le harcèlement relève des personnels de l’Éducation nationale en partenariat avec la « communauté éducative.  »</w:t>
      </w:r>
    </w:p>
    <w:p>
      <w:pPr>
        <w:pStyle w:val="BodyText"/>
        <w:spacing w:line="280" w:lineRule="auto" w:before="194"/>
        <w:ind w:right="174"/>
        <w:jc w:val="both"/>
      </w:pPr>
      <w:r>
        <w:rPr>
          <w:color w:val="231F20"/>
        </w:rPr>
        <w:t>Le programme oblige les équipes à associer « les parents et les partenaires de l’école » notamment en permettant aux parents d’élèves de déclencher le dispositif s’ils estiment que leur enfant est victime de harcèlement sans que les équipes soient  consultées.</w:t>
      </w:r>
    </w:p>
    <w:p>
      <w:pPr>
        <w:pStyle w:val="BodyText"/>
        <w:spacing w:line="280" w:lineRule="auto" w:before="2"/>
        <w:ind w:right="175"/>
        <w:jc w:val="both"/>
      </w:pPr>
      <w:r>
        <w:rPr>
          <w:color w:val="231F20"/>
        </w:rPr>
        <w:t>C’est une mesure de plus pour territorialiser l’école dans la continuité des mesures Macron / Ndiaye (expérimentation marseillaise, évaluations d’école…)  !</w:t>
      </w:r>
    </w:p>
    <w:p>
      <w:pPr>
        <w:spacing w:before="182"/>
        <w:ind w:left="593" w:right="0" w:firstLine="0"/>
        <w:jc w:val="both"/>
        <w:rPr>
          <w:b/>
          <w:sz w:val="24"/>
        </w:rPr>
      </w:pPr>
      <w:r>
        <w:rPr>
          <w:b/>
          <w:color w:val="231F20"/>
          <w:sz w:val="24"/>
        </w:rPr>
        <w:t>Les personnels n’ont pas à gérer ce qui ne relève pas de leur </w:t>
      </w:r>
      <w:r>
        <w:rPr>
          <w:b/>
          <w:color w:val="231F20"/>
          <w:spacing w:val="57"/>
          <w:sz w:val="24"/>
        </w:rPr>
        <w:t> </w:t>
      </w:r>
      <w:r>
        <w:rPr>
          <w:b/>
          <w:color w:val="231F20"/>
          <w:spacing w:val="2"/>
          <w:sz w:val="24"/>
        </w:rPr>
        <w:t>statut</w:t>
      </w:r>
    </w:p>
    <w:p>
      <w:pPr>
        <w:pStyle w:val="BodyText"/>
        <w:spacing w:line="280" w:lineRule="auto" w:before="56"/>
        <w:ind w:right="176"/>
        <w:jc w:val="both"/>
      </w:pPr>
      <w:r>
        <w:rPr>
          <w:color w:val="231F20"/>
        </w:rPr>
        <w:t>Pour la FNEC FP-FO cela ne relève en aucun cas des obligations de service des professeurs, ni des missions statutaires de chacun des  personnels.</w:t>
      </w:r>
    </w:p>
    <w:p>
      <w:pPr>
        <w:pStyle w:val="BodyText"/>
        <w:spacing w:line="280" w:lineRule="auto" w:before="2"/>
        <w:ind w:right="177"/>
        <w:jc w:val="both"/>
      </w:pPr>
      <w:r>
        <w:rPr>
          <w:color w:val="231F20"/>
        </w:rPr>
        <w:t>Le harcèlement scolaire ne saurait relever de la responsabilité notamment des directeurs d’école et des chefs d’établissement.</w:t>
      </w:r>
    </w:p>
    <w:p>
      <w:pPr>
        <w:pStyle w:val="BodyText"/>
        <w:spacing w:line="280" w:lineRule="auto" w:before="191"/>
        <w:ind w:right="175"/>
        <w:jc w:val="both"/>
      </w:pPr>
      <w:r>
        <w:rPr>
          <w:color w:val="231F20"/>
        </w:rPr>
        <w:t>Si un jeune sur dix est victime de harcèlement comme le dit le ministère, il faut revenir à ce qui fonde l’École de la République : des programmes et des diplômes nationaux, arrêter les suppressions de postes, stopper les fermetures d’écoles et d’établissements, les rouvrir afin que chaque élève puisse s’instruire dans une </w:t>
      </w:r>
      <w:r>
        <w:rPr>
          <w:color w:val="231F20"/>
          <w:spacing w:val="2"/>
        </w:rPr>
        <w:t>classe   </w:t>
      </w:r>
      <w:r>
        <w:rPr>
          <w:color w:val="231F20"/>
        </w:rPr>
        <w:t>qui ne serait plus surchargée, respecter les statuts et les missions des personnels et leur donner les </w:t>
      </w:r>
      <w:r>
        <w:rPr>
          <w:color w:val="231F20"/>
          <w:spacing w:val="2"/>
        </w:rPr>
        <w:t>moyens   </w:t>
      </w:r>
      <w:r>
        <w:rPr>
          <w:color w:val="231F20"/>
        </w:rPr>
        <w:t>de les accomplir, en commençant par augmenter les salaires. </w:t>
      </w:r>
      <w:r>
        <w:rPr>
          <w:color w:val="231F20"/>
          <w:spacing w:val="-5"/>
        </w:rPr>
        <w:t>Tout </w:t>
      </w:r>
      <w:r>
        <w:rPr>
          <w:color w:val="231F20"/>
        </w:rPr>
        <w:t>le contraire de ce que fait le gouvernement </w:t>
      </w:r>
      <w:r>
        <w:rPr>
          <w:color w:val="231F20"/>
          <w:spacing w:val="2"/>
        </w:rPr>
        <w:t>qui, </w:t>
      </w:r>
      <w:r>
        <w:rPr>
          <w:color w:val="231F20"/>
        </w:rPr>
        <w:t>en </w:t>
      </w:r>
      <w:r>
        <w:rPr>
          <w:color w:val="231F20"/>
          <w:spacing w:val="2"/>
        </w:rPr>
        <w:t>utilisant quatre </w:t>
      </w:r>
      <w:r>
        <w:rPr>
          <w:color w:val="231F20"/>
          <w:spacing w:val="3"/>
        </w:rPr>
        <w:t>fois </w:t>
      </w:r>
      <w:r>
        <w:rPr>
          <w:color w:val="231F20"/>
        </w:rPr>
        <w:t>en 15 </w:t>
      </w:r>
      <w:r>
        <w:rPr>
          <w:color w:val="231F20"/>
          <w:spacing w:val="2"/>
        </w:rPr>
        <w:t>jours </w:t>
      </w:r>
      <w:r>
        <w:rPr>
          <w:color w:val="231F20"/>
        </w:rPr>
        <w:t>le </w:t>
      </w:r>
      <w:r>
        <w:rPr>
          <w:color w:val="231F20"/>
          <w:spacing w:val="2"/>
        </w:rPr>
        <w:t>49-3, </w:t>
      </w:r>
      <w:r>
        <w:rPr>
          <w:color w:val="231F20"/>
        </w:rPr>
        <w:t>a </w:t>
      </w:r>
      <w:r>
        <w:rPr>
          <w:color w:val="231F20"/>
          <w:spacing w:val="2"/>
        </w:rPr>
        <w:t>empêché </w:t>
      </w:r>
      <w:r>
        <w:rPr>
          <w:color w:val="231F20"/>
          <w:spacing w:val="3"/>
        </w:rPr>
        <w:t>toute </w:t>
      </w:r>
      <w:r>
        <w:rPr>
          <w:color w:val="231F20"/>
          <w:spacing w:val="2"/>
        </w:rPr>
        <w:t>discussion sur </w:t>
      </w:r>
      <w:r>
        <w:rPr>
          <w:color w:val="231F20"/>
        </w:rPr>
        <w:t>le </w:t>
      </w:r>
      <w:r>
        <w:rPr>
          <w:color w:val="231F20"/>
          <w:spacing w:val="2"/>
        </w:rPr>
        <w:t>budget </w:t>
      </w:r>
      <w:r>
        <w:rPr>
          <w:color w:val="231F20"/>
        </w:rPr>
        <w:t>de </w:t>
      </w:r>
      <w:r>
        <w:rPr>
          <w:color w:val="231F20"/>
          <w:spacing w:val="3"/>
        </w:rPr>
        <w:t>l’Éducation </w:t>
      </w:r>
      <w:r>
        <w:rPr>
          <w:color w:val="231F20"/>
        </w:rPr>
        <w:t>nationale.</w:t>
      </w:r>
    </w:p>
    <w:p>
      <w:pPr>
        <w:spacing w:line="280" w:lineRule="auto" w:before="174"/>
        <w:ind w:left="593" w:right="174" w:firstLine="0"/>
        <w:jc w:val="both"/>
        <w:rPr>
          <w:b/>
          <w:sz w:val="28"/>
        </w:rPr>
      </w:pPr>
      <w:r>
        <w:rPr>
          <w:b/>
          <w:color w:val="231F20"/>
          <w:sz w:val="28"/>
        </w:rPr>
        <w:t>Non au dispositif pHARe! La FNEC FP-FO portera cette revendication lors de son audience auprès des conseillers du ministre, le 15 </w:t>
      </w:r>
      <w:r>
        <w:rPr>
          <w:b/>
          <w:color w:val="231F20"/>
          <w:spacing w:val="69"/>
          <w:sz w:val="28"/>
        </w:rPr>
        <w:t> </w:t>
      </w:r>
      <w:r>
        <w:rPr>
          <w:b/>
          <w:color w:val="231F20"/>
          <w:sz w:val="28"/>
        </w:rPr>
        <w:t>novembre.</w:t>
      </w:r>
    </w:p>
    <w:p>
      <w:pPr>
        <w:pStyle w:val="BodyText"/>
        <w:ind w:left="0"/>
        <w:rPr>
          <w:b/>
          <w:sz w:val="40"/>
        </w:rPr>
      </w:pPr>
    </w:p>
    <w:p>
      <w:pPr>
        <w:pStyle w:val="BodyText"/>
        <w:spacing w:before="1"/>
        <w:ind w:left="0"/>
        <w:rPr>
          <w:b/>
          <w:sz w:val="32"/>
        </w:rPr>
      </w:pPr>
    </w:p>
    <w:p>
      <w:pPr>
        <w:spacing w:before="0"/>
        <w:ind w:left="0" w:right="176" w:firstLine="0"/>
        <w:jc w:val="right"/>
        <w:rPr>
          <w:i/>
          <w:sz w:val="20"/>
        </w:rPr>
      </w:pPr>
      <w:r>
        <w:rPr>
          <w:i/>
          <w:color w:val="231F20"/>
          <w:sz w:val="20"/>
        </w:rPr>
        <w:t>Montreuil le 8 novembre 2022</w:t>
      </w:r>
    </w:p>
    <w:p>
      <w:pPr>
        <w:pStyle w:val="BodyText"/>
        <w:ind w:left="0"/>
        <w:rPr>
          <w:i/>
        </w:rPr>
      </w:pPr>
    </w:p>
    <w:p>
      <w:pPr>
        <w:pStyle w:val="BodyText"/>
        <w:spacing w:before="9"/>
        <w:ind w:left="0"/>
        <w:rPr>
          <w:i/>
          <w:sz w:val="19"/>
        </w:rPr>
      </w:pPr>
    </w:p>
    <w:p>
      <w:pPr>
        <w:spacing w:line="192" w:lineRule="exact" w:before="1"/>
        <w:ind w:left="2229" w:right="1681" w:firstLine="0"/>
        <w:jc w:val="center"/>
        <w:rPr>
          <w:rFonts w:ascii="Calibri Light" w:hAnsi="Calibri Light"/>
          <w:b w:val="0"/>
          <w:sz w:val="16"/>
        </w:rPr>
      </w:pPr>
      <w:r>
        <w:rPr>
          <w:rFonts w:ascii="Calibri Light" w:hAnsi="Calibri Light"/>
          <w:b w:val="0"/>
          <w:color w:val="231F20"/>
          <w:sz w:val="16"/>
        </w:rPr>
        <w:t>Fédération Nationale de l’Enseignement de la Culture et de la Formation Professionnelle </w:t>
      </w:r>
      <w:r>
        <w:rPr>
          <w:rFonts w:ascii="Calibri Light" w:hAnsi="Calibri Light"/>
          <w:b w:val="0"/>
          <w:color w:val="DA2128"/>
          <w:sz w:val="16"/>
        </w:rPr>
        <w:t>F</w:t>
      </w:r>
      <w:r>
        <w:rPr>
          <w:rFonts w:ascii="Calibri Light" w:hAnsi="Calibri Light"/>
          <w:b w:val="0"/>
          <w:color w:val="231F20"/>
          <w:sz w:val="16"/>
        </w:rPr>
        <w:t>orce </w:t>
      </w:r>
      <w:r>
        <w:rPr>
          <w:rFonts w:ascii="Calibri Light" w:hAnsi="Calibri Light"/>
          <w:b w:val="0"/>
          <w:color w:val="DA2128"/>
          <w:sz w:val="16"/>
        </w:rPr>
        <w:t>O</w:t>
      </w:r>
      <w:r>
        <w:rPr>
          <w:rFonts w:ascii="Calibri Light" w:hAnsi="Calibri Light"/>
          <w:b w:val="0"/>
          <w:color w:val="231F20"/>
          <w:sz w:val="16"/>
        </w:rPr>
        <w:t>uvrière 6/8 Rue Gaston Lauriau 93513 Montreuil Cedex</w:t>
      </w:r>
    </w:p>
    <w:p>
      <w:pPr>
        <w:spacing w:before="1"/>
        <w:ind w:left="844" w:right="298" w:firstLine="0"/>
        <w:jc w:val="center"/>
        <w:rPr>
          <w:rFonts w:ascii="Calibri Light"/>
          <w:b w:val="0"/>
          <w:sz w:val="16"/>
        </w:rPr>
      </w:pPr>
      <w:r>
        <w:rPr>
          <w:rFonts w:ascii="Calibri Light"/>
          <w:b w:val="0"/>
          <w:color w:val="231F20"/>
          <w:sz w:val="16"/>
        </w:rPr>
        <w:t>01 56 93 22 22- </w:t>
      </w:r>
      <w:hyperlink r:id="rId6">
        <w:r>
          <w:rPr>
            <w:rFonts w:ascii="Calibri Light"/>
            <w:b w:val="0"/>
            <w:color w:val="231F20"/>
            <w:sz w:val="16"/>
          </w:rPr>
          <w:t>fnecfp@fo-fnecfp.fr</w:t>
        </w:r>
      </w:hyperlink>
    </w:p>
    <w:sectPr>
      <w:type w:val="continuous"/>
      <w:pgSz w:w="11910" w:h="16840"/>
      <w:pgMar w:top="700" w:bottom="280" w:left="6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  <w:font w:name="Calibri Light">
    <w:altName w:val="Calibri Light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>
      <w:ind w:left="593"/>
    </w:pPr>
    <w:rPr>
      <w:rFonts w:ascii="Arial" w:hAnsi="Arial" w:eastAsia="Arial" w:cs="Arial"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fnecfp@fo-fnecfp.fr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Sylvie</dc:creator>
  <dc:title>Modèle communiqué FNEC</dc:title>
  <dcterms:created xsi:type="dcterms:W3CDTF">2022-11-08T16:06:12Z</dcterms:created>
  <dcterms:modified xsi:type="dcterms:W3CDTF">2022-11-08T16:06:12Z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2022-11-08T00:00:00Z</vt:filetime>
  </property>
  <property fmtid="{D5CDD505-2E9C-101B-9397-08002B2CF9AE}" pid="3" name="Creator">
    <vt:lpwstr>QuarkXPress(R) 14.0</vt:lpwstr>
  </property>
  <property fmtid="{D5CDD505-2E9C-101B-9397-08002B2CF9AE}" pid="4" name="LastSaved">
    <vt:filetime>2022-11-08T00:00:00Z</vt:filetime>
  </property>
</Properties>
</file>